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1" w:rsidRDefault="00A06131" w:rsidP="00822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06131" w:rsidRDefault="00A06131" w:rsidP="00822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8223B1" w:rsidRPr="0090415D" w:rsidRDefault="008223B1" w:rsidP="00822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доклад</w:t>
      </w: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ЗА ДЕЙНОСТ</w:t>
      </w:r>
      <w:r w:rsidR="00A0613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та</w:t>
      </w: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НА НАРОДНО ЧИТАЛИЩЕ </w:t>
      </w:r>
    </w:p>
    <w:p w:rsidR="008223B1" w:rsidRPr="0090415D" w:rsidRDefault="008223B1" w:rsidP="008223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„Пенчо Славейков 1983“ – град Бургас за 20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21 </w:t>
      </w: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година</w:t>
      </w:r>
    </w:p>
    <w:p w:rsidR="008223B1" w:rsidRPr="0090415D" w:rsidRDefault="008223B1" w:rsidP="008223B1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8223B1" w:rsidRPr="0090415D" w:rsidRDefault="008223B1" w:rsidP="009308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Читалище "Пенчо Славейков 1983" се намира на територията на жилищен комплекс „Славейков“ с население около 38 000 души</w:t>
      </w:r>
      <w:r w:rsidR="00A06131" w:rsidRPr="00A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131">
        <w:rPr>
          <w:rFonts w:ascii="Times New Roman" w:hAnsi="Times New Roman" w:cs="Times New Roman"/>
          <w:color w:val="000000" w:themeColor="text1"/>
          <w:sz w:val="28"/>
          <w:szCs w:val="28"/>
        </w:rPr>
        <w:t>в град Бургас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Работи за  удовлетворяване потребностите на гражданите, свързани с развитие и обогатяване на културния живот, социалната, образователна и творческа дейност в населеното място. 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Представлява у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стойчива, гъвкава, демократична институция с добро име сред местната общност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богати информационни ресурси, опит в о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рганизиране на културни, образователни и информационни п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</w:rPr>
        <w:t>рояви; о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пит в работа с различни възрастови, социални и етнически групи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адежден партньор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23B1" w:rsidRPr="0090415D" w:rsidRDefault="008223B1" w:rsidP="009308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НЧ „Пенчо Славейков 1983” 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разпознаваемо от общността като зона за личностно усъвършенстване, за създаване и разпространяване на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духовни ценности, за развиване на  творческите способности, за изграждане на висок художествен вкус, за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удовлетворяване на културни и образователни потребности.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Жив, активен център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който съчетава традицията с новите идеи; център за знания, художествено творчество, информация и култура</w:t>
      </w:r>
      <w:r w:rsidR="00930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</w:p>
    <w:p w:rsidR="008223B1" w:rsidRPr="0090415D" w:rsidRDefault="008223B1" w:rsidP="009308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ОСНОВНИ ЦЕЛИ </w:t>
      </w:r>
    </w:p>
    <w:p w:rsidR="008223B1" w:rsidRPr="0090415D" w:rsidRDefault="008223B1" w:rsidP="008223B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обогатяване на културния живот, социалната и образователната дейност в населеното място. Разширяване съдържателния и социалния обхват на читалищната дейност, за привличане на по-широк кръг хора от общността.</w:t>
      </w:r>
    </w:p>
    <w:p w:rsidR="008223B1" w:rsidRPr="0090415D" w:rsidRDefault="008223B1" w:rsidP="008223B1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8223B1" w:rsidRDefault="008223B1" w:rsidP="008223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Възпитаване и утвърждаване на националното самосъзнание.</w:t>
      </w:r>
    </w:p>
    <w:p w:rsidR="008223B1" w:rsidRPr="0090415D" w:rsidRDefault="008223B1" w:rsidP="008223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Осигуряване на достъп до информация, на по-добра и съвременна образователна, културна,   социална и информационна среда.</w:t>
      </w:r>
    </w:p>
    <w:p w:rsidR="008223B1" w:rsidRPr="0090415D" w:rsidRDefault="008223B1" w:rsidP="008223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Популяризиране и опазване на културно-историческото наследство и националните традиции.</w:t>
      </w:r>
    </w:p>
    <w:p w:rsidR="008223B1" w:rsidRPr="0090415D" w:rsidRDefault="008223B1" w:rsidP="008223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Създаване на възможности за личностна изява </w:t>
      </w:r>
    </w:p>
    <w:p w:rsidR="008223B1" w:rsidRPr="0090415D" w:rsidRDefault="008223B1" w:rsidP="008223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Поддържане на активно партньорство с общинската администрация, неправителствени организации, учебни заведения, други културни институти и бизнеса</w:t>
      </w:r>
    </w:p>
    <w:p w:rsidR="008223B1" w:rsidRPr="0090415D" w:rsidRDefault="008223B1" w:rsidP="008223B1">
      <w:pPr>
        <w:spacing w:after="0" w:line="360" w:lineRule="auto"/>
        <w:ind w:firstLine="284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2F2F2"/>
        </w:rPr>
      </w:pPr>
      <w:r w:rsidRPr="0090415D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2F2F2"/>
        </w:rPr>
        <w:t xml:space="preserve">Читалището реализира тези цели със следните свои </w:t>
      </w:r>
    </w:p>
    <w:p w:rsidR="008223B1" w:rsidRPr="0090415D" w:rsidRDefault="008223B1" w:rsidP="008223B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ДЕЙНОСТИ:</w:t>
      </w:r>
    </w:p>
    <w:p w:rsidR="008223B1" w:rsidRPr="0090415D" w:rsidRDefault="008223B1" w:rsidP="008223B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Основните дейности на НЧ " Пенчо Славейков 1983" се развиват в 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основни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– библиотечно-информационна, художествено творческа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образователна, културно просветна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23B1" w:rsidRPr="0090415D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415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Библиотечната</w:t>
      </w:r>
      <w:proofErr w:type="spellEnd"/>
      <w:r w:rsidRPr="0090415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дейност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НЧ «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Пенчо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Славейков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1983».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Библиотеката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 с фонд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наброяващ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33 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959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библиотечни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единици</w:t>
      </w:r>
      <w:proofErr w:type="spell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като</w:t>
      </w:r>
      <w:proofErr w:type="spell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2021 г. </w:t>
      </w:r>
      <w:proofErr w:type="spellStart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</w:t>
      </w:r>
      <w:proofErr w:type="spell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набавени</w:t>
      </w:r>
      <w:proofErr w:type="spell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356 тома за 4446,00 </w:t>
      </w:r>
      <w:proofErr w:type="spellStart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лв</w:t>
      </w:r>
      <w:proofErr w:type="spell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061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="00A061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егистрирани</w:t>
      </w:r>
      <w:proofErr w:type="spellEnd"/>
      <w:r w:rsidR="00A061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</w:t>
      </w:r>
      <w:proofErr w:type="spellEnd"/>
      <w:proofErr w:type="gram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1287 потребителя </w:t>
      </w:r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proofErr w:type="spellStart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деца</w:t>
      </w:r>
      <w:proofErr w:type="spellEnd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работници</w:t>
      </w:r>
      <w:proofErr w:type="spellEnd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специалисти</w:t>
      </w:r>
      <w:proofErr w:type="spellEnd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пенсионери</w:t>
      </w:r>
      <w:proofErr w:type="spellEnd"/>
      <w:r w:rsidR="00211E08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A061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Библиотечните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процеси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автоматизирани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2006 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три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обработка на книги,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обслужване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читатели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каталози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Осигурява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 свободен, неограничен и равен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достъп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информацията</w:t>
      </w:r>
      <w:proofErr w:type="spellEnd"/>
      <w:r w:rsidR="00211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вкл. интернет.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223B1" w:rsidRPr="0090415D" w:rsidRDefault="008223B1" w:rsidP="008223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Библиотечната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дейност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осъществява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чрез: </w:t>
      </w:r>
    </w:p>
    <w:p w:rsidR="008223B1" w:rsidRPr="0090415D" w:rsidRDefault="008223B1" w:rsidP="008223B1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   Ежедневно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проучване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читателските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търсения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обзор на</w:t>
      </w:r>
    </w:p>
    <w:p w:rsidR="008223B1" w:rsidRDefault="008223B1" w:rsidP="008223B1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предлагането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книжния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пазар</w:t>
      </w:r>
      <w:proofErr w:type="spellEnd"/>
    </w:p>
    <w:p w:rsidR="008223B1" w:rsidRPr="0090415D" w:rsidRDefault="008223B1" w:rsidP="008223B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Комплектуване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новопостъпилата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литература - в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зависимост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читателските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търсения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от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библиотеката</w:t>
      </w:r>
      <w:proofErr w:type="spellEnd"/>
    </w:p>
    <w:p w:rsidR="008223B1" w:rsidRPr="0090415D" w:rsidRDefault="008223B1" w:rsidP="008223B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  Обработка и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класиране</w:t>
      </w:r>
      <w:proofErr w:type="spellEnd"/>
    </w:p>
    <w:p w:rsidR="008223B1" w:rsidRPr="0090415D" w:rsidRDefault="008223B1" w:rsidP="008223B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 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Текущо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поддържане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фонда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Организиране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прочистване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съхраняване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предоставяне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 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ползване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223B1" w:rsidRPr="0090415D" w:rsidRDefault="008223B1" w:rsidP="008223B1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Обслужване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читателите</w:t>
      </w:r>
      <w:proofErr w:type="spellEnd"/>
    </w:p>
    <w:p w:rsidR="008223B1" w:rsidRDefault="008223B1" w:rsidP="008223B1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Масова</w:t>
      </w:r>
      <w:proofErr w:type="spellEnd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работа в </w:t>
      </w:r>
      <w:proofErr w:type="spellStart"/>
      <w:r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223B1" w:rsidRPr="0090415D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Първостепенна</w:t>
      </w:r>
      <w:proofErr w:type="spellEnd"/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грижа</w:t>
      </w:r>
      <w:proofErr w:type="spellEnd"/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 </w:t>
      </w:r>
      <w:r w:rsidRPr="0000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пълното удовлетворяване интересите на читателите ни, както със средства от бюджета, така и по програми.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Всяка година се кандидатства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допълнително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библиотеката чрез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програма „Българските библиотеки – съвременни центрове за четене и информираност”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към Министерство на културата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Проектните ни предложения винаги са били одобрявани от комисията, като това само по себе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показателно за качеството на нашата работа. </w:t>
      </w:r>
      <w:r w:rsidR="00211E0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</w:t>
      </w:r>
      <w:r w:rsidR="00211E08">
        <w:rPr>
          <w:rFonts w:ascii="Times New Roman" w:hAnsi="Times New Roman" w:cs="Times New Roman"/>
          <w:color w:val="000000" w:themeColor="text1"/>
          <w:sz w:val="28"/>
          <w:szCs w:val="28"/>
        </w:rPr>
        <w:t>проектът ни е на стойност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1619,95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лв. </w:t>
      </w:r>
    </w:p>
    <w:p w:rsidR="008223B1" w:rsidRDefault="008223B1" w:rsidP="008223B1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началото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миналата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година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настоящия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момент 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утвърди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опитност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спазване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противоепидемиологичните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мерки, без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 носи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сътресения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карантиниране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върнатите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книги, дезинфекция,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недопускане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повече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двама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ползватели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изискванията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223B1" w:rsidRDefault="008223B1" w:rsidP="008223B1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асовата</w:t>
      </w:r>
      <w:proofErr w:type="spellEnd"/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силно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влияе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противоепидимиологичните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мерки.</w:t>
      </w:r>
      <w:r w:rsidRPr="00004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Част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пренесохме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интернет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пространството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друга част,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въпреки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ограниченията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успяхме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осъществим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бюджетни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средства се закупи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мултимедиен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прожектор,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който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много необходим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осъществяване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библиотечните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прояви.</w:t>
      </w:r>
    </w:p>
    <w:p w:rsidR="008223B1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Грижата за сградата и респективно за помещенията, в които се намира библиотеката и библиотечните хранилища също е водеща за нас. През 2021 г. със собствени средства </w:t>
      </w:r>
      <w:r w:rsidR="0053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читалището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средства от бюджета се извършиха ремонтни работи в хранилището.</w:t>
      </w:r>
    </w:p>
    <w:p w:rsidR="008223B1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Въпреки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превратностите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съвремието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осъзнахме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библиотеката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 много необходима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общността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радост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наблюдаваме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отлив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читатели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читалищни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които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остават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жизнени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нужни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8223B1" w:rsidRPr="0090415D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Художествено творческа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образователна</w:t>
      </w:r>
      <w:r w:rsidRPr="00904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дейност </w:t>
      </w:r>
    </w:p>
    <w:p w:rsidR="00531B87" w:rsidRDefault="008223B1" w:rsidP="00531B8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Към читалището работят: музикална школа с класове пиано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акордеон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китара, школа по рисуване, моделиране и керамика, битов хор,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организират се курсове по български език и литература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710E9" w:rsidRPr="003710E9" w:rsidRDefault="008223B1" w:rsidP="003710E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F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итовият хор „Самодивски огън”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представя</w:t>
      </w:r>
      <w:r w:rsidRPr="00DF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читалище „Пенчо Славейков 1983”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множество </w:t>
      </w:r>
      <w:r w:rsidR="00531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концерти, </w:t>
      </w:r>
      <w:r w:rsidR="0037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фестивали и конкурси: Хорът спечели 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първо място 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седемнадесети музикален фестивал "Фолклорен изгрев" - гр. Варна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="003710E9" w:rsidRPr="00371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отлично 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се 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представ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фолклорен ф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естивал "</w:t>
      </w:r>
      <w:proofErr w:type="spellStart"/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Атлиманска</w:t>
      </w:r>
      <w:proofErr w:type="spellEnd"/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огърлица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", 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Национален фолклорен фестивал в с. Сладун - Хасковска област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спечели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Специална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та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награда на името на Кичка Савова - патрон на фестивала, 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участва и в</w:t>
      </w:r>
      <w:r w:rsidR="003710E9" w:rsidRPr="00371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Национална фолклорна среща ''Китен и приятели"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фолклорен фестивал </w:t>
      </w:r>
      <w:r w:rsidR="003710E9" w:rsidRP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"С песните на Комня Стоянова" - гр. Средец.</w:t>
      </w:r>
      <w:r w:rsidR="003710E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:rsidR="003710E9" w:rsidRDefault="003710E9" w:rsidP="00531B8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0E9" w:rsidRDefault="003710E9" w:rsidP="00531B8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3B1" w:rsidRPr="00DF5D2E" w:rsidRDefault="008223B1" w:rsidP="00531B8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Тук с Община Бургас сме в партньорство</w:t>
      </w:r>
      <w:r w:rsidR="003710E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тъй като тя предоставя на колектива помещение, в което да се репетира, защото читалището се намира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подблоково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 и работата на хора би създала неудобство на живущите. От бюджета се покрива хонорара н</w:t>
      </w:r>
      <w:r w:rsidRPr="00DF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ръководителя, с когото се сключва граждански договор,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хонорари на съпровождащи инструменталисти,</w:t>
      </w:r>
      <w:r w:rsidRPr="00DF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пътни разходи, такси участие,</w:t>
      </w:r>
      <w:r w:rsidRPr="00DF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извършва се и организационната работа по участията.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спонсорски средства и лични средства на участниците се осигуряват</w:t>
      </w:r>
      <w:r w:rsidRPr="00DF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костюми.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085D" w:rsidRDefault="008223B1" w:rsidP="008223B1">
      <w:pPr>
        <w:pStyle w:val="a3"/>
        <w:spacing w:before="0" w:line="360" w:lineRule="auto"/>
        <w:ind w:firstLine="426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Работата в музикалната школа се обезпечава частично от бюджета и частично от таксите, които се събират. Увеличения брой на децата</w:t>
      </w:r>
      <w:r w:rsidR="00531B87">
        <w:rPr>
          <w:rFonts w:ascii="Times New Roman" w:hAnsi="Times New Roman"/>
          <w:b w:val="0"/>
          <w:color w:val="000000"/>
          <w:sz w:val="28"/>
          <w:szCs w:val="28"/>
        </w:rPr>
        <w:t xml:space="preserve"> и обстоятелството, че заниманията се провеждат и през лятото,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доведе до необходимостта реорганизиране на пространствата в читалището, което наложи от своя страна извършването на ремонтни дейности в част от сградата – смяна на дограми, поставяне на окачени тавани за подобряване на енергийната ефективност и с цел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обезшумяване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боядисване. </w:t>
      </w:r>
    </w:p>
    <w:p w:rsidR="008223B1" w:rsidRDefault="008223B1" w:rsidP="008223B1">
      <w:pPr>
        <w:pStyle w:val="a3"/>
        <w:spacing w:before="0" w:line="360" w:lineRule="auto"/>
        <w:ind w:firstLine="426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Школата по рисуване, моделиране и керамика е едва на четири години, но успешно ни представя пред общността и радва и събира деца с интереси в областта. Възпитаниците й участват в местни и национални конкурси. Финансира се от бюджета на читалището, който не е достатъчен школата да бъде изцяло оборудвана с всичко необходимо за завършване на творческия процес, но се обезпечава хонорара на ръководителя, осигуряват се материали. Подмени се част от обзавеждането</w:t>
      </w:r>
      <w:r w:rsidR="00531B87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8223B1" w:rsidRDefault="008223B1" w:rsidP="008223B1">
      <w:pPr>
        <w:pStyle w:val="a3"/>
        <w:spacing w:before="0" w:line="360" w:lineRule="auto"/>
        <w:ind w:firstLine="426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За да удовлетворим потребностите на общността, от тази учебна година стартирахме курсове по български език и литература в помощ на учениците от </w:t>
      </w:r>
      <w:r w:rsidR="00531B87">
        <w:rPr>
          <w:rFonts w:ascii="Times New Roman" w:hAnsi="Times New Roman"/>
          <w:b w:val="0"/>
          <w:color w:val="000000"/>
          <w:sz w:val="28"/>
          <w:szCs w:val="28"/>
        </w:rPr>
        <w:t xml:space="preserve">пети до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седми клас. Към момента е сключен граждански договор с преподавател по БЕЛ и </w:t>
      </w:r>
      <w:r w:rsidR="00531B87">
        <w:rPr>
          <w:rFonts w:ascii="Times New Roman" w:hAnsi="Times New Roman"/>
          <w:b w:val="0"/>
          <w:color w:val="000000"/>
          <w:sz w:val="28"/>
          <w:szCs w:val="28"/>
        </w:rPr>
        <w:t>заниманията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 провеж</w:t>
      </w:r>
      <w:r w:rsidR="00531B87">
        <w:rPr>
          <w:rFonts w:ascii="Times New Roman" w:hAnsi="Times New Roman"/>
          <w:b w:val="0"/>
          <w:color w:val="000000"/>
          <w:sz w:val="28"/>
          <w:szCs w:val="28"/>
        </w:rPr>
        <w:t>дат регулярно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223B1" w:rsidRDefault="008223B1" w:rsidP="008223B1">
      <w:pPr>
        <w:pStyle w:val="a3"/>
        <w:spacing w:before="0" w:line="360" w:lineRule="auto"/>
        <w:ind w:firstLine="426"/>
        <w:contextualSpacing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DF5D2E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Културн</w:t>
      </w:r>
      <w:r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 просветна</w:t>
      </w:r>
      <w:r w:rsidRPr="00DF5D2E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дейност</w:t>
      </w:r>
    </w:p>
    <w:p w:rsidR="008223B1" w:rsidRPr="0008094F" w:rsidRDefault="008223B1" w:rsidP="00822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Културните прояви, които най-общо разделяме за деца и възрастни провеждаме в зависимост от обстановката към дадения момент.  </w:t>
      </w:r>
      <w:r w:rsidRPr="00904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B1" w:rsidRDefault="008223B1" w:rsidP="008223B1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За възрастни:</w:t>
      </w:r>
    </w:p>
    <w:p w:rsidR="008223B1" w:rsidRPr="00306163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Концерти на открито с творчески ателиета и базар</w:t>
      </w:r>
    </w:p>
    <w:p w:rsidR="008223B1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 матинета </w:t>
      </w:r>
    </w:p>
    <w:p w:rsidR="008223B1" w:rsidRPr="00191F54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F5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Литературни вечери – представяния на книги, срещи с автори, четения</w:t>
      </w:r>
    </w:p>
    <w:p w:rsidR="008223B1" w:rsidRPr="0090415D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Изложби</w:t>
      </w:r>
    </w:p>
    <w:p w:rsidR="008223B1" w:rsidRPr="0090415D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деца: </w:t>
      </w:r>
    </w:p>
    <w:p w:rsidR="008223B1" w:rsidRPr="0090415D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 празници </w:t>
      </w:r>
    </w:p>
    <w:p w:rsidR="008223B1" w:rsidRPr="0090415D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Изложби, конкурси</w:t>
      </w:r>
    </w:p>
    <w:p w:rsidR="008223B1" w:rsidRPr="0090415D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Дискусии и лекции</w:t>
      </w:r>
    </w:p>
    <w:p w:rsidR="008223B1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56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Представяния на книги, срещи с автори</w:t>
      </w:r>
    </w:p>
    <w:p w:rsidR="008223B1" w:rsidRPr="001D5565" w:rsidRDefault="008223B1" w:rsidP="008223B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565">
        <w:rPr>
          <w:rFonts w:ascii="Times New Roman" w:hAnsi="Times New Roman" w:cs="Times New Roman"/>
          <w:color w:val="000000" w:themeColor="text1"/>
          <w:sz w:val="28"/>
          <w:szCs w:val="28"/>
        </w:rPr>
        <w:t>Мултимедийни презентации, свързани със събития, празници, автори, книги</w:t>
      </w:r>
    </w:p>
    <w:p w:rsidR="008223B1" w:rsidRDefault="008223B1" w:rsidP="008223B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14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инансират се от държавната субсидия и от общинския бюджет.  За съжаление заради мерките отпаднаха две големи прояви на открито в комплекса, които бяха залегнали в културния план на Община Бургас и се финансират</w:t>
      </w:r>
      <w:r w:rsidR="008C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общинския бюджет. Вместо тях, в края на годината се реализира второ издание на конкурс за талантливи деца „Коледни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звездици</w:t>
      </w:r>
      <w:proofErr w:type="spellEnd"/>
      <w:r>
        <w:rPr>
          <w:rFonts w:ascii="Times New Roman" w:hAnsi="Times New Roman" w:cs="Times New Roman"/>
          <w:sz w:val="28"/>
          <w:szCs w:val="28"/>
        </w:rPr>
        <w:t>“, който се провежда в електронна среда. Конкурс</w:t>
      </w:r>
      <w:r w:rsidR="00B96C3C">
        <w:rPr>
          <w:rFonts w:ascii="Times New Roman" w:hAnsi="Times New Roman" w:cs="Times New Roman"/>
          <w:sz w:val="28"/>
          <w:szCs w:val="28"/>
        </w:rPr>
        <w:t>ът</w:t>
      </w:r>
      <w:r>
        <w:rPr>
          <w:rFonts w:ascii="Times New Roman" w:hAnsi="Times New Roman" w:cs="Times New Roman"/>
          <w:sz w:val="28"/>
          <w:szCs w:val="28"/>
        </w:rPr>
        <w:t xml:space="preserve"> за илюстрация „Книжки и рисунки“</w:t>
      </w:r>
      <w:r w:rsidR="00B96C3C">
        <w:rPr>
          <w:rFonts w:ascii="Times New Roman" w:hAnsi="Times New Roman" w:cs="Times New Roman"/>
          <w:sz w:val="28"/>
          <w:szCs w:val="28"/>
        </w:rPr>
        <w:t xml:space="preserve"> обявяваме в Седмицата на детската книга, а отчитаме в деня на Светите братя Кирил и Методий – 11 май. С</w:t>
      </w:r>
      <w:r>
        <w:rPr>
          <w:rFonts w:ascii="Times New Roman" w:hAnsi="Times New Roman" w:cs="Times New Roman"/>
          <w:sz w:val="28"/>
          <w:szCs w:val="28"/>
        </w:rPr>
        <w:t>рещи с деца и ученици в библиотеката, литературни игри, изложби, конкурси</w:t>
      </w:r>
      <w:r w:rsidR="00BE0C2C">
        <w:rPr>
          <w:rFonts w:ascii="Times New Roman" w:hAnsi="Times New Roman" w:cs="Times New Roman"/>
          <w:sz w:val="28"/>
          <w:szCs w:val="28"/>
        </w:rPr>
        <w:t xml:space="preserve">, възстановки на различни обичаи, </w:t>
      </w:r>
      <w:r>
        <w:rPr>
          <w:rFonts w:ascii="Times New Roman" w:hAnsi="Times New Roman" w:cs="Times New Roman"/>
          <w:sz w:val="28"/>
          <w:szCs w:val="28"/>
        </w:rPr>
        <w:t xml:space="preserve"> са други традиционни форми в нашата културно просветна дейност, която въпреки трудностите в момента успяваме да осъществим.  </w:t>
      </w:r>
      <w:r w:rsidRPr="0008094F">
        <w:rPr>
          <w:rFonts w:ascii="Times New Roman" w:hAnsi="Times New Roman" w:cs="Times New Roman"/>
          <w:sz w:val="28"/>
          <w:szCs w:val="28"/>
        </w:rPr>
        <w:t>Пета поредна година списваме вестник „Славейково слово“, с редактор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поетът </w:t>
      </w:r>
      <w:r w:rsidRPr="0008094F">
        <w:rPr>
          <w:rFonts w:ascii="Times New Roman" w:hAnsi="Times New Roman" w:cs="Times New Roman"/>
          <w:sz w:val="28"/>
          <w:szCs w:val="28"/>
        </w:rPr>
        <w:t>Борис Бухчев, който разпространяваме безвъзмездно</w:t>
      </w:r>
      <w:r w:rsidR="00C16267">
        <w:rPr>
          <w:rFonts w:ascii="Times New Roman" w:hAnsi="Times New Roman" w:cs="Times New Roman"/>
          <w:sz w:val="28"/>
          <w:szCs w:val="28"/>
        </w:rPr>
        <w:t xml:space="preserve"> сред нашите ползватели</w:t>
      </w:r>
      <w:r w:rsidRPr="0008094F">
        <w:rPr>
          <w:rFonts w:ascii="Times New Roman" w:hAnsi="Times New Roman" w:cs="Times New Roman"/>
          <w:sz w:val="28"/>
          <w:szCs w:val="28"/>
        </w:rPr>
        <w:t>.</w:t>
      </w:r>
    </w:p>
    <w:p w:rsidR="008223B1" w:rsidRDefault="008223B1" w:rsidP="00C16267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извършване дейността си в обществена полза </w:t>
      </w:r>
      <w:r w:rsidR="00C16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средствата на НЧ „Пенчо Славейков 1983“ от държавния бюджет и собствени приходи </w:t>
      </w:r>
      <w:r w:rsidR="00BE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2021 г. </w:t>
      </w:r>
      <w:r w:rsidR="00C16267">
        <w:rPr>
          <w:rFonts w:ascii="Times New Roman" w:hAnsi="Times New Roman" w:cs="Times New Roman"/>
          <w:color w:val="000000" w:themeColor="text1"/>
          <w:sz w:val="28"/>
          <w:szCs w:val="28"/>
        </w:rPr>
        <w:t>се разходваха както следва: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223B1" w:rsidRDefault="008223B1" w:rsidP="008223B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267" w:rsidRDefault="00C16267" w:rsidP="008223B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267" w:rsidRDefault="00C16267" w:rsidP="008223B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3B1" w:rsidRDefault="008223B1" w:rsidP="008223B1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6267">
        <w:rPr>
          <w:rFonts w:ascii="Times New Roman" w:hAnsi="Times New Roman" w:cs="Times New Roman"/>
          <w:caps/>
          <w:sz w:val="28"/>
          <w:szCs w:val="28"/>
        </w:rPr>
        <w:lastRenderedPageBreak/>
        <w:t>от държавната</w:t>
      </w:r>
      <w:r w:rsidR="00C16267">
        <w:rPr>
          <w:rFonts w:ascii="Times New Roman" w:hAnsi="Times New Roman" w:cs="Times New Roman"/>
          <w:caps/>
          <w:sz w:val="28"/>
          <w:szCs w:val="28"/>
        </w:rPr>
        <w:t xml:space="preserve"> и общинска</w:t>
      </w:r>
      <w:r w:rsidRPr="00C16267">
        <w:rPr>
          <w:rFonts w:ascii="Times New Roman" w:hAnsi="Times New Roman" w:cs="Times New Roman"/>
          <w:caps/>
          <w:sz w:val="28"/>
          <w:szCs w:val="28"/>
        </w:rPr>
        <w:t xml:space="preserve"> субсидия</w:t>
      </w:r>
      <w:r w:rsidR="00C16267">
        <w:rPr>
          <w:rFonts w:ascii="Times New Roman" w:hAnsi="Times New Roman" w:cs="Times New Roman"/>
          <w:caps/>
          <w:sz w:val="28"/>
          <w:szCs w:val="28"/>
        </w:rPr>
        <w:t>:</w:t>
      </w:r>
    </w:p>
    <w:p w:rsidR="00BE0C2C" w:rsidRPr="00C16267" w:rsidRDefault="00BE0C2C" w:rsidP="008223B1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7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40"/>
        <w:gridCol w:w="1600"/>
        <w:gridCol w:w="1700"/>
      </w:tblGrid>
      <w:tr w:rsidR="00C16267" w:rsidRPr="001A051D" w:rsidTr="00C162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ПРИХОДИ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ОТЧЕТ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Субсидия по стандарт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59028,00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59028,00</w:t>
            </w:r>
          </w:p>
        </w:tc>
      </w:tr>
      <w:tr w:rsidR="00C16267" w:rsidRPr="001A051D" w:rsidTr="00C16267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67" w:rsidRPr="001A051D" w:rsidRDefault="00BE0C2C" w:rsidP="00BE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Субсидия от общинския бюджет (</w:t>
            </w:r>
            <w:r w:rsidR="00C16267"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финансиране по културен календар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 w:rsidR="00C16267"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1100,00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ВСИЧКО ПРИХОДИ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60128,00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60128,00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ОТЧЕТ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Фонд работна заплата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35590,00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35590,00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Осигурителни вноски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6779,00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6779,00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Културни прояви - разходи по план сметка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1100,00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3а.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Културни прояви - разходи извън план сметката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1015,00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Книги и библиотечни материали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2288,00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Курсове и школи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4273,00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4273,00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Любителски състави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1347,00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Канцеларски материали и др. материали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216,00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Вода, горива и енергия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2390,00</w:t>
            </w:r>
          </w:p>
        </w:tc>
      </w:tr>
      <w:tr w:rsidR="00C16267" w:rsidRPr="001A051D" w:rsidTr="00C16267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външни услуги - телефон, интернет, транспортни разходи, СОТ, </w:t>
            </w:r>
            <w:proofErr w:type="spellStart"/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счет</w:t>
            </w:r>
            <w:proofErr w:type="spellEnd"/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услуга и др.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1167,00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текущи ремонти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3293,00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командировки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Обзавеждане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247,00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Платени данъци и такси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Други: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423,00</w:t>
            </w:r>
          </w:p>
        </w:tc>
      </w:tr>
      <w:tr w:rsidR="00C16267" w:rsidRPr="001A051D" w:rsidTr="00C162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ВСИЧКО РАЗХОДИ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60128,00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267" w:rsidRPr="001A051D" w:rsidRDefault="00C16267" w:rsidP="0009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A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60128,00</w:t>
            </w:r>
          </w:p>
        </w:tc>
      </w:tr>
    </w:tbl>
    <w:p w:rsidR="00BE0C2C" w:rsidRDefault="00BE0C2C" w:rsidP="00BE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2C" w:rsidRPr="001A051D" w:rsidRDefault="00C16267" w:rsidP="00BE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51D">
        <w:rPr>
          <w:rFonts w:ascii="Times New Roman" w:hAnsi="Times New Roman" w:cs="Times New Roman"/>
          <w:sz w:val="24"/>
          <w:szCs w:val="24"/>
        </w:rPr>
        <w:t>СОБСТВЕНИ ПРИХОДИ 2021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1559"/>
        <w:gridCol w:w="1701"/>
      </w:tblGrid>
      <w:tr w:rsidR="00C16267" w:rsidRPr="001A051D" w:rsidTr="00BE0C2C">
        <w:trPr>
          <w:trHeight w:val="343"/>
        </w:trPr>
        <w:tc>
          <w:tcPr>
            <w:tcW w:w="988" w:type="dxa"/>
          </w:tcPr>
          <w:p w:rsidR="00C16267" w:rsidRPr="001A051D" w:rsidRDefault="00C16267" w:rsidP="00BE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5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6" w:type="dxa"/>
          </w:tcPr>
          <w:p w:rsidR="00C16267" w:rsidRPr="00C16267" w:rsidRDefault="00C16267" w:rsidP="00BE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16267">
              <w:rPr>
                <w:rFonts w:ascii="Times New Roman" w:hAnsi="Times New Roman" w:cs="Times New Roman"/>
                <w:b/>
                <w:caps/>
              </w:rPr>
              <w:t>дейност</w:t>
            </w:r>
          </w:p>
        </w:tc>
        <w:tc>
          <w:tcPr>
            <w:tcW w:w="1559" w:type="dxa"/>
          </w:tcPr>
          <w:p w:rsidR="00C16267" w:rsidRPr="001A051D" w:rsidRDefault="00C16267" w:rsidP="00BE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51D">
              <w:rPr>
                <w:rFonts w:ascii="Times New Roman" w:hAnsi="Times New Roman" w:cs="Times New Roman"/>
                <w:b/>
              </w:rPr>
              <w:t>ПРИХОД</w:t>
            </w:r>
          </w:p>
        </w:tc>
        <w:tc>
          <w:tcPr>
            <w:tcW w:w="1701" w:type="dxa"/>
          </w:tcPr>
          <w:p w:rsidR="00C16267" w:rsidRPr="001A051D" w:rsidRDefault="00C16267" w:rsidP="00BE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51D">
              <w:rPr>
                <w:rFonts w:ascii="Times New Roman" w:hAnsi="Times New Roman" w:cs="Times New Roman"/>
                <w:b/>
              </w:rPr>
              <w:t>РАЗХОД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BE0C2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BE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Библиотечни такси</w:t>
            </w:r>
          </w:p>
        </w:tc>
        <w:tc>
          <w:tcPr>
            <w:tcW w:w="1559" w:type="dxa"/>
          </w:tcPr>
          <w:p w:rsidR="00C16267" w:rsidRPr="00932AC2" w:rsidRDefault="00C16267" w:rsidP="00BE0C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2697,00</w:t>
            </w:r>
          </w:p>
        </w:tc>
        <w:tc>
          <w:tcPr>
            <w:tcW w:w="1701" w:type="dxa"/>
          </w:tcPr>
          <w:p w:rsidR="00C16267" w:rsidRPr="00932AC2" w:rsidRDefault="00C16267" w:rsidP="00BE0C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7073,00</w:t>
            </w: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Членски внос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Дарения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2025,74</w:t>
            </w: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Проект МК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1619,91</w:t>
            </w: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Проект МК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1619,97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Дарения книги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1881,98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Заплати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Осигуровки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213,80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Материали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303,41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Външни услуги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1801,55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 xml:space="preserve">Школи 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tabs>
                <w:tab w:val="right" w:pos="19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2925,80</w:t>
            </w:r>
          </w:p>
        </w:tc>
      </w:tr>
      <w:tr w:rsidR="00C16267" w:rsidRPr="00932AC2" w:rsidTr="00092472">
        <w:tc>
          <w:tcPr>
            <w:tcW w:w="988" w:type="dxa"/>
          </w:tcPr>
          <w:p w:rsidR="00C16267" w:rsidRPr="00932AC2" w:rsidRDefault="00C16267" w:rsidP="00C1626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932AC2" w:rsidRDefault="00C16267" w:rsidP="0009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>Ел. енергия</w:t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267" w:rsidRPr="00932AC2" w:rsidRDefault="00C16267" w:rsidP="00092472">
            <w:pPr>
              <w:tabs>
                <w:tab w:val="right" w:pos="19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sz w:val="24"/>
                <w:szCs w:val="24"/>
              </w:rPr>
              <w:t xml:space="preserve">334,60 </w:t>
            </w:r>
          </w:p>
        </w:tc>
      </w:tr>
      <w:tr w:rsidR="00C16267" w:rsidRPr="00932AC2" w:rsidTr="00C16267">
        <w:trPr>
          <w:trHeight w:val="347"/>
        </w:trPr>
        <w:tc>
          <w:tcPr>
            <w:tcW w:w="988" w:type="dxa"/>
          </w:tcPr>
          <w:p w:rsidR="00C16267" w:rsidRPr="00932AC2" w:rsidRDefault="00C16267" w:rsidP="00092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16267" w:rsidRPr="00C16267" w:rsidRDefault="00C16267" w:rsidP="00C16267">
            <w:pPr>
              <w:tabs>
                <w:tab w:val="center" w:pos="2585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1626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Общо:</w:t>
            </w:r>
            <w:r w:rsidRPr="00C1626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16267" w:rsidRPr="00932AC2" w:rsidRDefault="00C16267" w:rsidP="000924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b/>
                <w:sz w:val="24"/>
                <w:szCs w:val="24"/>
              </w:rPr>
              <w:t>14865,65</w:t>
            </w:r>
          </w:p>
        </w:tc>
        <w:tc>
          <w:tcPr>
            <w:tcW w:w="1701" w:type="dxa"/>
          </w:tcPr>
          <w:p w:rsidR="00C16267" w:rsidRPr="00932AC2" w:rsidRDefault="00C16267" w:rsidP="00092472">
            <w:pPr>
              <w:tabs>
                <w:tab w:val="right" w:pos="19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C2">
              <w:rPr>
                <w:rFonts w:ascii="Times New Roman" w:hAnsi="Times New Roman" w:cs="Times New Roman"/>
                <w:b/>
                <w:sz w:val="24"/>
                <w:szCs w:val="24"/>
              </w:rPr>
              <w:t>10234,11</w:t>
            </w:r>
          </w:p>
        </w:tc>
      </w:tr>
    </w:tbl>
    <w:p w:rsidR="00BE0C2C" w:rsidRDefault="00BE0C2C" w:rsidP="00BE0C2C"/>
    <w:p w:rsidR="00BE0C2C" w:rsidRPr="00BE0C2C" w:rsidRDefault="00BE0C2C" w:rsidP="00BE0C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C2C">
        <w:rPr>
          <w:rFonts w:ascii="Times New Roman" w:hAnsi="Times New Roman" w:cs="Times New Roman"/>
          <w:sz w:val="28"/>
          <w:szCs w:val="28"/>
        </w:rPr>
        <w:t>Председател:</w:t>
      </w:r>
    </w:p>
    <w:p w:rsidR="00BE0C2C" w:rsidRPr="00BE0C2C" w:rsidRDefault="00BE0C2C" w:rsidP="00BE0C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BE0C2C">
        <w:rPr>
          <w:rFonts w:ascii="Times New Roman" w:hAnsi="Times New Roman" w:cs="Times New Roman"/>
          <w:sz w:val="28"/>
          <w:szCs w:val="28"/>
        </w:rPr>
        <w:t>Т. Петрова</w:t>
      </w:r>
    </w:p>
    <w:sectPr w:rsidR="00BE0C2C" w:rsidRPr="00BE0C2C" w:rsidSect="00BE0C2C">
      <w:footerReference w:type="default" r:id="rId7"/>
      <w:pgSz w:w="11906" w:h="16838"/>
      <w:pgMar w:top="284" w:right="1274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48" w:rsidRDefault="00567448">
      <w:pPr>
        <w:spacing w:after="0" w:line="240" w:lineRule="auto"/>
      </w:pPr>
      <w:r>
        <w:separator/>
      </w:r>
    </w:p>
  </w:endnote>
  <w:endnote w:type="continuationSeparator" w:id="0">
    <w:p w:rsidR="00567448" w:rsidRDefault="0056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201"/>
      <w:docPartObj>
        <w:docPartGallery w:val="Page Numbers (Bottom of Page)"/>
        <w:docPartUnique/>
      </w:docPartObj>
    </w:sdtPr>
    <w:sdtEndPr/>
    <w:sdtContent>
      <w:p w:rsidR="005867DE" w:rsidRDefault="00146E8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C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67DE" w:rsidRDefault="00567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48" w:rsidRDefault="00567448">
      <w:pPr>
        <w:spacing w:after="0" w:line="240" w:lineRule="auto"/>
      </w:pPr>
      <w:r>
        <w:separator/>
      </w:r>
    </w:p>
  </w:footnote>
  <w:footnote w:type="continuationSeparator" w:id="0">
    <w:p w:rsidR="00567448" w:rsidRDefault="0056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0A1"/>
    <w:multiLevelType w:val="hybridMultilevel"/>
    <w:tmpl w:val="483A5B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01F"/>
    <w:multiLevelType w:val="hybridMultilevel"/>
    <w:tmpl w:val="589267CA"/>
    <w:lvl w:ilvl="0" w:tplc="EC40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CA2949"/>
    <w:multiLevelType w:val="hybridMultilevel"/>
    <w:tmpl w:val="6E08B684"/>
    <w:lvl w:ilvl="0" w:tplc="FAB6AA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E63E5"/>
    <w:multiLevelType w:val="hybridMultilevel"/>
    <w:tmpl w:val="B6E8510E"/>
    <w:lvl w:ilvl="0" w:tplc="0E88ED0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1"/>
    <w:rsid w:val="00146E80"/>
    <w:rsid w:val="00211E08"/>
    <w:rsid w:val="003710E9"/>
    <w:rsid w:val="003B7DAC"/>
    <w:rsid w:val="00531B87"/>
    <w:rsid w:val="00567448"/>
    <w:rsid w:val="008223B1"/>
    <w:rsid w:val="008C43C4"/>
    <w:rsid w:val="0093085D"/>
    <w:rsid w:val="00A06131"/>
    <w:rsid w:val="00B96C3C"/>
    <w:rsid w:val="00BE0C2C"/>
    <w:rsid w:val="00C16267"/>
    <w:rsid w:val="00F567D4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356B"/>
  <w15:chartTrackingRefBased/>
  <w15:docId w15:val="{7BCC625A-8F94-4E78-A99E-EC7C66F5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3B1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</w:rPr>
  </w:style>
  <w:style w:type="character" w:customStyle="1" w:styleId="a4">
    <w:name w:val="Основен текст Знак"/>
    <w:basedOn w:val="a0"/>
    <w:link w:val="a3"/>
    <w:rsid w:val="008223B1"/>
    <w:rPr>
      <w:rFonts w:ascii="TimokU" w:eastAsia="Times New Roman" w:hAnsi="TimokU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8223B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2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223B1"/>
  </w:style>
  <w:style w:type="character" w:styleId="a8">
    <w:name w:val="Strong"/>
    <w:basedOn w:val="a0"/>
    <w:uiPriority w:val="22"/>
    <w:qFormat/>
    <w:rsid w:val="008223B1"/>
    <w:rPr>
      <w:b/>
      <w:bCs/>
    </w:rPr>
  </w:style>
  <w:style w:type="table" w:styleId="a9">
    <w:name w:val="Table Grid"/>
    <w:basedOn w:val="a1"/>
    <w:uiPriority w:val="39"/>
    <w:rsid w:val="00C1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2022-03-08T09:03:00Z</dcterms:created>
  <dcterms:modified xsi:type="dcterms:W3CDTF">2022-03-10T09:05:00Z</dcterms:modified>
</cp:coreProperties>
</file>